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9B" w:rsidRDefault="00C60633" w:rsidP="003809A8">
      <w:pPr>
        <w:pStyle w:val="ListBullet"/>
        <w:numPr>
          <w:ilvl w:val="0"/>
          <w:numId w:val="0"/>
        </w:numPr>
        <w:ind w:left="-450"/>
        <w:jc w:val="center"/>
      </w:pPr>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476251</wp:posOffset>
                </wp:positionH>
                <wp:positionV relativeFrom="paragraph">
                  <wp:posOffset>171450</wp:posOffset>
                </wp:positionV>
                <wp:extent cx="2133600" cy="5048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04825"/>
                        </a:xfrm>
                        <a:prstGeom prst="rect">
                          <a:avLst/>
                        </a:prstGeom>
                        <a:solidFill>
                          <a:srgbClr val="FFFFFF"/>
                        </a:solidFill>
                        <a:ln w="9525">
                          <a:noFill/>
                          <a:miter lim="800000"/>
                          <a:headEnd/>
                          <a:tailEnd/>
                        </a:ln>
                      </wps:spPr>
                      <wps:txbx>
                        <w:txbxContent>
                          <w:p w:rsidR="00C60633" w:rsidRPr="00C60633" w:rsidRDefault="00C60633" w:rsidP="00C60633">
                            <w:pPr>
                              <w:pStyle w:val="Default"/>
                              <w:rPr>
                                <w:rFonts w:cs="Aharoni"/>
                                <w:b/>
                                <w:bCs/>
                                <w:color w:val="153979"/>
                              </w:rPr>
                            </w:pPr>
                            <w:r w:rsidRPr="00C60633">
                              <w:rPr>
                                <w:rFonts w:cs="Aharoni"/>
                                <w:b/>
                                <w:bCs/>
                                <w:color w:val="153979"/>
                              </w:rPr>
                              <w:t>WELLNESS CENTER</w:t>
                            </w:r>
                          </w:p>
                          <w:p w:rsidR="00C60633" w:rsidRDefault="00C60633" w:rsidP="00C60633">
                            <w:r w:rsidRPr="00C60633">
                              <w:rPr>
                                <w:rFonts w:cs="Aharoni"/>
                                <w:b/>
                                <w:bCs/>
                                <w:color w:val="153979"/>
                              </w:rPr>
                              <w:t>(845) 341-4870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7.5pt;margin-top:13.5pt;width:16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UPIAIAAB0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" stroked="f">
                <v:textbox>
                  <w:txbxContent>
                    <w:p w:rsidR="00C60633" w:rsidRPr="00C60633" w:rsidRDefault="00C60633" w:rsidP="00C60633">
                      <w:pPr>
                        <w:pStyle w:val="Default"/>
                        <w:rPr>
                          <w:rFonts w:cs="Aharoni"/>
                          <w:b/>
                          <w:bCs/>
                          <w:color w:val="153979"/>
                        </w:rPr>
                      </w:pPr>
                      <w:r w:rsidRPr="00C60633">
                        <w:rPr>
                          <w:rFonts w:cs="Aharoni"/>
                          <w:b/>
                          <w:bCs/>
                          <w:color w:val="153979"/>
                        </w:rPr>
                        <w:t>WELLNESS CENTER</w:t>
                      </w:r>
                    </w:p>
                    <w:p w:rsidR="00C60633" w:rsidRDefault="00C60633" w:rsidP="00C60633">
                      <w:r w:rsidRPr="00C60633">
                        <w:rPr>
                          <w:rFonts w:cs="Aharoni"/>
                          <w:b/>
                          <w:bCs/>
                          <w:color w:val="153979"/>
                        </w:rPr>
                        <w:t>(845) 341-4870</w:t>
                      </w:r>
                    </w:p>
                  </w:txbxContent>
                </v:textbox>
              </v:shape>
            </w:pict>
          </mc:Fallback>
        </mc:AlternateContent>
      </w:r>
      <w:r w:rsidR="009E2FE2">
        <w:rPr>
          <w:noProof/>
        </w:rPr>
        <w:drawing>
          <wp:anchor distT="0" distB="0" distL="114300" distR="114300" simplePos="0" relativeHeight="251659264" behindDoc="0" locked="0" layoutInCell="1" allowOverlap="1" wp14:anchorId="59241657" wp14:editId="5879F06E">
            <wp:simplePos x="0" y="0"/>
            <wp:positionH relativeFrom="column">
              <wp:posOffset>-529590</wp:posOffset>
            </wp:positionH>
            <wp:positionV relativeFrom="paragraph">
              <wp:posOffset>-671195</wp:posOffset>
            </wp:positionV>
            <wp:extent cx="6916420" cy="1293495"/>
            <wp:effectExtent l="0" t="0" r="0" b="1905"/>
            <wp:wrapTopAndBottom/>
            <wp:docPr id="1" name="Picture 1" descr="Letterhead colo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color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642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FE2">
        <w:t xml:space="preserve">          </w:t>
      </w:r>
    </w:p>
    <w:p w:rsidR="00AE00C2" w:rsidRPr="003809A8" w:rsidRDefault="009E2FE2" w:rsidP="003809A8">
      <w:pPr>
        <w:pStyle w:val="ListBullet"/>
        <w:numPr>
          <w:ilvl w:val="0"/>
          <w:numId w:val="0"/>
        </w:numPr>
        <w:ind w:left="-450"/>
        <w:jc w:val="center"/>
      </w:pPr>
      <w:r>
        <w:t xml:space="preserve"> </w:t>
      </w:r>
      <w:r w:rsidR="00AE00C2" w:rsidRPr="0044142B">
        <w:rPr>
          <w:b/>
          <w:bCs/>
          <w:sz w:val="22"/>
          <w:szCs w:val="22"/>
          <w:u w:val="single"/>
        </w:rPr>
        <w:t>Sexual Violence Victim/Survivor Bill of Rights</w:t>
      </w:r>
    </w:p>
    <w:p w:rsidR="00AE00C2" w:rsidRPr="0044142B" w:rsidRDefault="00AE00C2" w:rsidP="00AE00C2">
      <w:pPr>
        <w:pStyle w:val="Default"/>
        <w:rPr>
          <w:b/>
          <w:bCs/>
          <w:sz w:val="22"/>
          <w:szCs w:val="22"/>
          <w:u w:val="single"/>
        </w:rPr>
      </w:pPr>
      <w:bookmarkStart w:id="0" w:name="_GoBack"/>
      <w:bookmarkEnd w:id="0"/>
    </w:p>
    <w:p w:rsidR="00AE00C2" w:rsidRPr="0044142B" w:rsidRDefault="00AE00C2" w:rsidP="00C60633">
      <w:pPr>
        <w:pStyle w:val="Default"/>
        <w:rPr>
          <w:bCs/>
          <w:sz w:val="22"/>
          <w:szCs w:val="22"/>
        </w:rPr>
      </w:pPr>
      <w:r w:rsidRPr="0044142B">
        <w:rPr>
          <w:bCs/>
          <w:sz w:val="22"/>
          <w:szCs w:val="22"/>
        </w:rPr>
        <w:t>The State University of New York and SUNY Orange are committed to providing options, support and assistance to victims/survivors of sexual assault, domestic violence, dating violence, and/or stalking to ensure that they can continue to participate in SUNY Orange programs, activities, and employment.  All victims/survivors of these crimes and violations, regardless of race color, national origin, religion, creed, age, disability, sex, gender identity or expression, sexual orientation, familial status, pregnancy, predisposing genetic characteristics, military status, domestic violence</w:t>
      </w:r>
      <w:r w:rsidR="0044142B" w:rsidRPr="0044142B">
        <w:rPr>
          <w:bCs/>
          <w:sz w:val="22"/>
          <w:szCs w:val="22"/>
        </w:rPr>
        <w:t xml:space="preserve">, </w:t>
      </w:r>
      <w:r w:rsidRPr="0044142B">
        <w:rPr>
          <w:bCs/>
          <w:sz w:val="22"/>
          <w:szCs w:val="22"/>
        </w:rPr>
        <w:t>victim status, or criminal conviction, have the following rights, regardless of whether the crime or violation occurs on campus, off campus, or while studying abroad:</w:t>
      </w:r>
    </w:p>
    <w:p w:rsidR="00AE00C2" w:rsidRPr="0044142B" w:rsidRDefault="00AE00C2" w:rsidP="00AE00C2">
      <w:pPr>
        <w:pStyle w:val="Default"/>
        <w:rPr>
          <w:bCs/>
          <w:sz w:val="22"/>
          <w:szCs w:val="22"/>
        </w:rPr>
      </w:pPr>
    </w:p>
    <w:p w:rsidR="00AE00C2" w:rsidRPr="0044142B" w:rsidRDefault="00AE00C2" w:rsidP="00AE00C2">
      <w:pPr>
        <w:pStyle w:val="Default"/>
        <w:rPr>
          <w:bCs/>
          <w:sz w:val="22"/>
          <w:szCs w:val="22"/>
        </w:rPr>
      </w:pPr>
      <w:r w:rsidRPr="0044142B">
        <w:rPr>
          <w:bCs/>
          <w:sz w:val="22"/>
          <w:szCs w:val="22"/>
        </w:rPr>
        <w:t>The right to:</w:t>
      </w:r>
    </w:p>
    <w:p w:rsidR="00AE00C2" w:rsidRPr="0044142B" w:rsidRDefault="00AE00C2" w:rsidP="00AE00C2">
      <w:pPr>
        <w:pStyle w:val="Default"/>
        <w:numPr>
          <w:ilvl w:val="0"/>
          <w:numId w:val="1"/>
        </w:numPr>
        <w:rPr>
          <w:bCs/>
          <w:sz w:val="22"/>
          <w:szCs w:val="22"/>
        </w:rPr>
      </w:pPr>
      <w:r w:rsidRPr="0044142B">
        <w:rPr>
          <w:bCs/>
          <w:sz w:val="22"/>
          <w:szCs w:val="22"/>
        </w:rPr>
        <w:t>Have disclosures of sexual violence treated seriously.</w:t>
      </w:r>
    </w:p>
    <w:p w:rsidR="00AE00C2" w:rsidRPr="0044142B" w:rsidRDefault="00AE00C2" w:rsidP="00AE00C2">
      <w:pPr>
        <w:pStyle w:val="Default"/>
        <w:numPr>
          <w:ilvl w:val="0"/>
          <w:numId w:val="1"/>
        </w:numPr>
        <w:rPr>
          <w:bCs/>
          <w:sz w:val="22"/>
          <w:szCs w:val="22"/>
        </w:rPr>
      </w:pPr>
      <w:r w:rsidRPr="0044142B">
        <w:rPr>
          <w:bCs/>
          <w:sz w:val="22"/>
          <w:szCs w:val="22"/>
        </w:rPr>
        <w:t>Make decisions about whether or not to disclose a crime or incident and participate in the conduct or criminal justice process free from outside pressures from college officials.</w:t>
      </w:r>
    </w:p>
    <w:p w:rsidR="00AE00C2" w:rsidRPr="0044142B" w:rsidRDefault="00AE00C2" w:rsidP="00AE00C2">
      <w:pPr>
        <w:pStyle w:val="Default"/>
        <w:numPr>
          <w:ilvl w:val="0"/>
          <w:numId w:val="1"/>
        </w:numPr>
        <w:rPr>
          <w:bCs/>
          <w:sz w:val="22"/>
          <w:szCs w:val="22"/>
        </w:rPr>
      </w:pPr>
      <w:r w:rsidRPr="0044142B">
        <w:rPr>
          <w:bCs/>
          <w:sz w:val="22"/>
          <w:szCs w:val="22"/>
        </w:rPr>
        <w:t>Be treated with dignity and to receive from college officials courteous, fair, and respectful health care and counseling services.</w:t>
      </w:r>
    </w:p>
    <w:p w:rsidR="00AE00C2" w:rsidRPr="0044142B" w:rsidRDefault="00AE00C2" w:rsidP="00AE00C2">
      <w:pPr>
        <w:pStyle w:val="Default"/>
        <w:numPr>
          <w:ilvl w:val="0"/>
          <w:numId w:val="1"/>
        </w:numPr>
        <w:rPr>
          <w:bCs/>
          <w:sz w:val="22"/>
          <w:szCs w:val="22"/>
        </w:rPr>
      </w:pPr>
      <w:r w:rsidRPr="0044142B">
        <w:rPr>
          <w:bCs/>
          <w:sz w:val="22"/>
          <w:szCs w:val="22"/>
        </w:rPr>
        <w:t>Be free from any suggestion that the victim/survivor is at fault when these crimes and violations are committed, or should have acted in a different manner to avoid such crime.</w:t>
      </w:r>
    </w:p>
    <w:p w:rsidR="00AE00C2" w:rsidRPr="0044142B" w:rsidRDefault="00AE00C2" w:rsidP="00AE00C2">
      <w:pPr>
        <w:pStyle w:val="Default"/>
        <w:numPr>
          <w:ilvl w:val="0"/>
          <w:numId w:val="1"/>
        </w:numPr>
        <w:rPr>
          <w:bCs/>
          <w:sz w:val="22"/>
          <w:szCs w:val="22"/>
        </w:rPr>
      </w:pPr>
      <w:r w:rsidRPr="0044142B">
        <w:rPr>
          <w:bCs/>
          <w:sz w:val="22"/>
          <w:szCs w:val="22"/>
        </w:rPr>
        <w:t>Describe the incident to as few individuals as practicable and not to be required to unnecessarily repeat a description of the incident.</w:t>
      </w:r>
    </w:p>
    <w:p w:rsidR="00AE00C2" w:rsidRPr="0044142B" w:rsidRDefault="00AE00C2" w:rsidP="00AE00C2">
      <w:pPr>
        <w:pStyle w:val="Default"/>
        <w:numPr>
          <w:ilvl w:val="0"/>
          <w:numId w:val="1"/>
        </w:numPr>
        <w:rPr>
          <w:bCs/>
          <w:sz w:val="22"/>
          <w:szCs w:val="22"/>
        </w:rPr>
      </w:pPr>
      <w:r w:rsidRPr="0044142B">
        <w:rPr>
          <w:bCs/>
          <w:sz w:val="22"/>
          <w:szCs w:val="22"/>
        </w:rPr>
        <w:t>Be free from retaliation by SUNY Orange, the accused, and/or their friends, family and acquaintances.</w:t>
      </w:r>
    </w:p>
    <w:p w:rsidR="00AE00C2" w:rsidRPr="0044142B" w:rsidRDefault="00AE00C2" w:rsidP="00AE00C2">
      <w:pPr>
        <w:pStyle w:val="Default"/>
        <w:numPr>
          <w:ilvl w:val="0"/>
          <w:numId w:val="1"/>
        </w:numPr>
        <w:rPr>
          <w:bCs/>
          <w:sz w:val="22"/>
          <w:szCs w:val="22"/>
        </w:rPr>
      </w:pPr>
      <w:r w:rsidRPr="0044142B">
        <w:rPr>
          <w:bCs/>
          <w:sz w:val="22"/>
          <w:szCs w:val="22"/>
        </w:rPr>
        <w:t>Exercise civil rights and practice of religion without interference by the investigative, criminal justice, or conduct process of SUNY Orange.</w:t>
      </w:r>
    </w:p>
    <w:p w:rsidR="00AE00C2" w:rsidRPr="0044142B" w:rsidRDefault="00AE00C2" w:rsidP="00AE00C2">
      <w:pPr>
        <w:pStyle w:val="Default"/>
        <w:rPr>
          <w:bCs/>
          <w:sz w:val="22"/>
          <w:szCs w:val="22"/>
        </w:rPr>
      </w:pPr>
    </w:p>
    <w:p w:rsidR="00AE00C2" w:rsidRPr="0044142B" w:rsidRDefault="00AE00C2" w:rsidP="00AE00C2">
      <w:pPr>
        <w:pStyle w:val="Default"/>
        <w:rPr>
          <w:bCs/>
          <w:sz w:val="22"/>
          <w:szCs w:val="22"/>
        </w:rPr>
      </w:pPr>
      <w:r w:rsidRPr="0044142B">
        <w:rPr>
          <w:bCs/>
          <w:sz w:val="22"/>
          <w:szCs w:val="22"/>
        </w:rPr>
        <w:t>Options in Brief:</w:t>
      </w:r>
    </w:p>
    <w:p w:rsidR="00AE00C2" w:rsidRPr="0044142B" w:rsidRDefault="00AE00C2" w:rsidP="00AE00C2">
      <w:pPr>
        <w:pStyle w:val="Default"/>
        <w:rPr>
          <w:b/>
          <w:bCs/>
          <w:sz w:val="22"/>
          <w:szCs w:val="22"/>
          <w:u w:val="single"/>
        </w:rPr>
      </w:pPr>
    </w:p>
    <w:p w:rsidR="00AE00C2" w:rsidRPr="0044142B" w:rsidRDefault="00AE00C2" w:rsidP="00AE00C2">
      <w:pPr>
        <w:pStyle w:val="Default"/>
        <w:rPr>
          <w:bCs/>
          <w:sz w:val="22"/>
          <w:szCs w:val="22"/>
        </w:rPr>
      </w:pPr>
      <w:r w:rsidRPr="0044142B">
        <w:rPr>
          <w:bCs/>
          <w:sz w:val="22"/>
          <w:szCs w:val="22"/>
        </w:rPr>
        <w:t>Victims/survivors have many options that can be pursued simultaneously, including one or more of the following:</w:t>
      </w:r>
    </w:p>
    <w:p w:rsidR="00AE00C2" w:rsidRPr="0044142B" w:rsidRDefault="00AE00C2" w:rsidP="00AE00C2">
      <w:pPr>
        <w:pStyle w:val="Default"/>
        <w:numPr>
          <w:ilvl w:val="0"/>
          <w:numId w:val="2"/>
        </w:numPr>
        <w:rPr>
          <w:bCs/>
          <w:sz w:val="22"/>
          <w:szCs w:val="22"/>
        </w:rPr>
      </w:pPr>
      <w:r w:rsidRPr="0044142B">
        <w:rPr>
          <w:bCs/>
          <w:sz w:val="22"/>
          <w:szCs w:val="22"/>
        </w:rPr>
        <w:t>Receive resources, such as counseling and medical attention;</w:t>
      </w:r>
    </w:p>
    <w:p w:rsidR="00AE00C2" w:rsidRPr="0044142B" w:rsidRDefault="001230E9" w:rsidP="00AE00C2">
      <w:pPr>
        <w:pStyle w:val="Default"/>
        <w:numPr>
          <w:ilvl w:val="0"/>
          <w:numId w:val="2"/>
        </w:numPr>
        <w:rPr>
          <w:b/>
          <w:bCs/>
          <w:sz w:val="22"/>
          <w:szCs w:val="22"/>
        </w:rPr>
      </w:pPr>
      <w:r w:rsidRPr="0044142B">
        <w:rPr>
          <w:bCs/>
          <w:sz w:val="22"/>
          <w:szCs w:val="22"/>
        </w:rPr>
        <w:t xml:space="preserve">Confidentially </w:t>
      </w:r>
      <w:r w:rsidR="00AE00C2" w:rsidRPr="0044142B">
        <w:rPr>
          <w:bCs/>
          <w:sz w:val="22"/>
          <w:szCs w:val="22"/>
        </w:rPr>
        <w:t xml:space="preserve">disclose a crime or violation </w:t>
      </w:r>
      <w:r w:rsidRPr="0044142B">
        <w:rPr>
          <w:bCs/>
          <w:sz w:val="22"/>
          <w:szCs w:val="22"/>
        </w:rPr>
        <w:t xml:space="preserve">by contacting the Wellness Center and speaking with a licensed mental health professional </w:t>
      </w:r>
      <w:r w:rsidR="00F4326E" w:rsidRPr="0044142B">
        <w:rPr>
          <w:bCs/>
          <w:sz w:val="22"/>
          <w:szCs w:val="22"/>
        </w:rPr>
        <w:t>and/</w:t>
      </w:r>
      <w:r w:rsidRPr="0044142B">
        <w:rPr>
          <w:bCs/>
          <w:sz w:val="22"/>
          <w:szCs w:val="22"/>
        </w:rPr>
        <w:t xml:space="preserve">or </w:t>
      </w:r>
      <w:r w:rsidR="00377277" w:rsidRPr="0044142B">
        <w:rPr>
          <w:bCs/>
          <w:sz w:val="22"/>
          <w:szCs w:val="22"/>
        </w:rPr>
        <w:t xml:space="preserve">a </w:t>
      </w:r>
      <w:r w:rsidRPr="0044142B">
        <w:rPr>
          <w:bCs/>
          <w:sz w:val="22"/>
          <w:szCs w:val="22"/>
        </w:rPr>
        <w:t>registered nurse;</w:t>
      </w:r>
    </w:p>
    <w:p w:rsidR="001230E9" w:rsidRPr="0044142B" w:rsidRDefault="001230E9" w:rsidP="00AE00C2">
      <w:pPr>
        <w:pStyle w:val="Default"/>
        <w:numPr>
          <w:ilvl w:val="0"/>
          <w:numId w:val="2"/>
        </w:numPr>
        <w:rPr>
          <w:b/>
          <w:bCs/>
          <w:sz w:val="22"/>
          <w:szCs w:val="22"/>
        </w:rPr>
      </w:pPr>
      <w:r w:rsidRPr="0044142B">
        <w:rPr>
          <w:bCs/>
          <w:sz w:val="22"/>
          <w:szCs w:val="22"/>
        </w:rPr>
        <w:t>Anonymously disclose a crime or violation by utilizing the blue light emergency phones or red phones available on campus;</w:t>
      </w:r>
    </w:p>
    <w:p w:rsidR="00AE00C2" w:rsidRPr="0044142B" w:rsidRDefault="00AE00C2" w:rsidP="00AE00C2">
      <w:pPr>
        <w:pStyle w:val="Default"/>
        <w:numPr>
          <w:ilvl w:val="0"/>
          <w:numId w:val="2"/>
        </w:numPr>
        <w:rPr>
          <w:bCs/>
          <w:sz w:val="22"/>
          <w:szCs w:val="22"/>
        </w:rPr>
      </w:pPr>
      <w:r w:rsidRPr="0044142B">
        <w:rPr>
          <w:bCs/>
          <w:sz w:val="22"/>
          <w:szCs w:val="22"/>
        </w:rPr>
        <w:t>Make a report to:</w:t>
      </w:r>
    </w:p>
    <w:p w:rsidR="00AE00C2" w:rsidRPr="0044142B" w:rsidRDefault="00AE00C2" w:rsidP="00AE00C2">
      <w:pPr>
        <w:pStyle w:val="Default"/>
        <w:numPr>
          <w:ilvl w:val="0"/>
          <w:numId w:val="3"/>
        </w:numPr>
        <w:rPr>
          <w:bCs/>
          <w:sz w:val="22"/>
          <w:szCs w:val="22"/>
        </w:rPr>
      </w:pPr>
      <w:r w:rsidRPr="0044142B">
        <w:rPr>
          <w:bCs/>
          <w:sz w:val="22"/>
          <w:szCs w:val="22"/>
        </w:rPr>
        <w:t xml:space="preserve">An employee with the authority to address complaints, including the Title IX Coordinator or Deputy Coordinators, </w:t>
      </w:r>
      <w:r w:rsidRPr="0044142B">
        <w:rPr>
          <w:bCs/>
          <w:color w:val="auto"/>
          <w:sz w:val="22"/>
          <w:szCs w:val="22"/>
        </w:rPr>
        <w:t>an employee from the Office of the Vice President for Student Development</w:t>
      </w:r>
      <w:r w:rsidRPr="0044142B">
        <w:rPr>
          <w:bCs/>
          <w:sz w:val="22"/>
          <w:szCs w:val="22"/>
        </w:rPr>
        <w:t>, or a Human Resources employee;</w:t>
      </w:r>
    </w:p>
    <w:p w:rsidR="00AE00C2" w:rsidRPr="0044142B" w:rsidRDefault="00AE00C2" w:rsidP="00AE00C2">
      <w:pPr>
        <w:pStyle w:val="Default"/>
        <w:numPr>
          <w:ilvl w:val="0"/>
          <w:numId w:val="3"/>
        </w:numPr>
        <w:rPr>
          <w:bCs/>
          <w:sz w:val="22"/>
          <w:szCs w:val="22"/>
        </w:rPr>
      </w:pPr>
      <w:r w:rsidRPr="0044142B">
        <w:rPr>
          <w:bCs/>
          <w:sz w:val="22"/>
          <w:szCs w:val="22"/>
        </w:rPr>
        <w:t>Safety and Security;</w:t>
      </w:r>
    </w:p>
    <w:p w:rsidR="00AE00C2" w:rsidRPr="0044142B" w:rsidRDefault="00AE00C2" w:rsidP="00AE00C2">
      <w:pPr>
        <w:pStyle w:val="Default"/>
        <w:numPr>
          <w:ilvl w:val="0"/>
          <w:numId w:val="3"/>
        </w:numPr>
        <w:rPr>
          <w:bCs/>
          <w:sz w:val="22"/>
          <w:szCs w:val="22"/>
        </w:rPr>
      </w:pPr>
      <w:r w:rsidRPr="0044142B">
        <w:rPr>
          <w:bCs/>
          <w:sz w:val="22"/>
          <w:szCs w:val="22"/>
        </w:rPr>
        <w:t>Local law enforcement; and/or</w:t>
      </w:r>
    </w:p>
    <w:p w:rsidR="00AF48EE" w:rsidRPr="0044142B" w:rsidRDefault="00AE00C2" w:rsidP="00AE00C2">
      <w:pPr>
        <w:pStyle w:val="Default"/>
        <w:numPr>
          <w:ilvl w:val="0"/>
          <w:numId w:val="3"/>
        </w:numPr>
        <w:rPr>
          <w:bCs/>
          <w:sz w:val="22"/>
          <w:szCs w:val="22"/>
        </w:rPr>
      </w:pPr>
      <w:r w:rsidRPr="0044142B">
        <w:rPr>
          <w:bCs/>
          <w:sz w:val="22"/>
          <w:szCs w:val="22"/>
        </w:rPr>
        <w:t>Family Court or Civil Court</w:t>
      </w:r>
    </w:p>
    <w:sectPr w:rsidR="00AF48EE" w:rsidRPr="00441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80E5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B300AE"/>
    <w:multiLevelType w:val="hybridMultilevel"/>
    <w:tmpl w:val="6126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3455F"/>
    <w:multiLevelType w:val="hybridMultilevel"/>
    <w:tmpl w:val="168A2A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7D74CD8"/>
    <w:multiLevelType w:val="hybridMultilevel"/>
    <w:tmpl w:val="600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C2"/>
    <w:rsid w:val="001230E9"/>
    <w:rsid w:val="00203C8D"/>
    <w:rsid w:val="00377277"/>
    <w:rsid w:val="003809A8"/>
    <w:rsid w:val="0044142B"/>
    <w:rsid w:val="00655B9B"/>
    <w:rsid w:val="009E2FE2"/>
    <w:rsid w:val="00AE00C2"/>
    <w:rsid w:val="00AF48EE"/>
    <w:rsid w:val="00C60633"/>
    <w:rsid w:val="00F4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0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7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77"/>
    <w:rPr>
      <w:rFonts w:ascii="Segoe UI" w:hAnsi="Segoe UI" w:cs="Segoe UI"/>
      <w:sz w:val="18"/>
      <w:szCs w:val="18"/>
    </w:rPr>
  </w:style>
  <w:style w:type="paragraph" w:styleId="ListBullet">
    <w:name w:val="List Bullet"/>
    <w:basedOn w:val="Normal"/>
    <w:rsid w:val="009E2FE2"/>
    <w:pPr>
      <w:numPr>
        <w:numId w:val="4"/>
      </w:num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0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7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77"/>
    <w:rPr>
      <w:rFonts w:ascii="Segoe UI" w:hAnsi="Segoe UI" w:cs="Segoe UI"/>
      <w:sz w:val="18"/>
      <w:szCs w:val="18"/>
    </w:rPr>
  </w:style>
  <w:style w:type="paragraph" w:styleId="ListBullet">
    <w:name w:val="List Bullet"/>
    <w:basedOn w:val="Normal"/>
    <w:rsid w:val="009E2FE2"/>
    <w:pPr>
      <w:numPr>
        <w:numId w:val="4"/>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A483-178D-4349-B1A8-5654F0B8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2015-01-28T17:12:00Z</cp:lastPrinted>
  <dcterms:created xsi:type="dcterms:W3CDTF">2015-02-13T20:37:00Z</dcterms:created>
  <dcterms:modified xsi:type="dcterms:W3CDTF">2015-02-13T20:37:00Z</dcterms:modified>
</cp:coreProperties>
</file>